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21"/>
        <w:tblpPr w:leftFromText="141" w:rightFromText="141" w:vertAnchor="text" w:horzAnchor="margin" w:tblpXSpec="center" w:tblpY="-223"/>
        <w:tblW w:w="9776" w:type="dxa"/>
        <w:tblLook w:val="04A0" w:firstRow="1" w:lastRow="0" w:firstColumn="1" w:lastColumn="0" w:noHBand="0" w:noVBand="1"/>
      </w:tblPr>
      <w:tblGrid>
        <w:gridCol w:w="2547"/>
        <w:gridCol w:w="7229"/>
      </w:tblGrid>
      <w:tr w:rsidR="00D37E3A" w:rsidRPr="00903335" w14:paraId="2339C6D3" w14:textId="77777777" w:rsidTr="00D37E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Borders>
              <w:top w:val="nil"/>
              <w:bottom w:val="nil"/>
            </w:tcBorders>
          </w:tcPr>
          <w:p w14:paraId="75FDC349" w14:textId="77777777" w:rsidR="00D37E3A" w:rsidRPr="00903335" w:rsidRDefault="00D37E3A" w:rsidP="000543E2">
            <w:pPr>
              <w:pStyle w:val="1"/>
              <w:keepNext w:val="0"/>
              <w:keepLines w:val="0"/>
              <w:widowControl w:val="0"/>
              <w:spacing w:before="240" w:after="120"/>
              <w:outlineLvl w:val="0"/>
              <w:rPr>
                <w:rFonts w:cs="Times New Roman"/>
                <w:b w:val="0"/>
                <w:bCs w:val="0"/>
                <w:spacing w:val="1"/>
                <w:sz w:val="21"/>
                <w:szCs w:val="21"/>
              </w:rPr>
            </w:pPr>
            <w:r w:rsidRPr="00903335">
              <w:rPr>
                <w:rFonts w:ascii="Times New Roman" w:hAnsi="Times New Roman" w:cs="Times New Roman"/>
                <w:color w:val="auto"/>
                <w:sz w:val="24"/>
                <w:szCs w:val="24"/>
              </w:rPr>
              <w:t>Material suplementario</w:t>
            </w:r>
          </w:p>
        </w:tc>
      </w:tr>
      <w:tr w:rsidR="00D37E3A" w:rsidRPr="00903335" w14:paraId="1B62DB50" w14:textId="77777777" w:rsidTr="00D37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Borders>
              <w:top w:val="nil"/>
            </w:tcBorders>
          </w:tcPr>
          <w:p w14:paraId="7A8D5781" w14:textId="291566DD" w:rsidR="00D37E3A" w:rsidRPr="00903335" w:rsidRDefault="00D37E3A" w:rsidP="000543E2">
            <w:pPr>
              <w:widowControl w:val="0"/>
              <w:rPr>
                <w:rFonts w:cs="Times New Roman"/>
                <w:b w:val="0"/>
                <w:bCs w:val="0"/>
                <w:spacing w:val="1"/>
                <w:sz w:val="21"/>
                <w:szCs w:val="21"/>
              </w:rPr>
            </w:pPr>
            <w:r w:rsidRPr="00903335">
              <w:rPr>
                <w:sz w:val="21"/>
                <w:szCs w:val="21"/>
              </w:rPr>
              <w:t xml:space="preserve">Tabla suplementaria </w:t>
            </w:r>
            <w:bookmarkStart w:id="0" w:name="_GoBack"/>
            <w:bookmarkEnd w:id="0"/>
            <w:r w:rsidRPr="00903335">
              <w:rPr>
                <w:sz w:val="21"/>
                <w:szCs w:val="21"/>
              </w:rPr>
              <w:t xml:space="preserve">1. </w:t>
            </w:r>
            <w:r w:rsidRPr="00D37E3A">
              <w:rPr>
                <w:b w:val="0"/>
                <w:bCs w:val="0"/>
                <w:sz w:val="21"/>
                <w:szCs w:val="21"/>
              </w:rPr>
              <w:t>Referencias de las ponencias de la Tabla 2 “Nuevos resultados de cladribina en poblaciones especiales y control sostenido de la enfermedad”</w:t>
            </w:r>
          </w:p>
        </w:tc>
      </w:tr>
      <w:tr w:rsidR="00D37E3A" w:rsidRPr="00903335" w14:paraId="1FA63F8D" w14:textId="77777777" w:rsidTr="000543E2">
        <w:tc>
          <w:tcPr>
            <w:cnfStyle w:val="001000000000" w:firstRow="0" w:lastRow="0" w:firstColumn="1" w:lastColumn="0" w:oddVBand="0" w:evenVBand="0" w:oddHBand="0" w:evenHBand="0" w:firstRowFirstColumn="0" w:firstRowLastColumn="0" w:lastRowFirstColumn="0" w:lastRowLastColumn="0"/>
            <w:tcW w:w="2547" w:type="dxa"/>
          </w:tcPr>
          <w:p w14:paraId="3A8451D2" w14:textId="77777777" w:rsidR="00D37E3A" w:rsidRPr="00D37E3A" w:rsidRDefault="00D37E3A" w:rsidP="000543E2">
            <w:pPr>
              <w:widowControl w:val="0"/>
              <w:rPr>
                <w:rFonts w:cs="Times New Roman"/>
                <w:b w:val="0"/>
                <w:bCs w:val="0"/>
                <w:sz w:val="21"/>
                <w:szCs w:val="21"/>
              </w:rPr>
            </w:pPr>
            <w:bookmarkStart w:id="1" w:name="_Hlk218695306"/>
            <w:r w:rsidRPr="00D37E3A">
              <w:rPr>
                <w:rFonts w:cs="Times New Roman"/>
                <w:b w:val="0"/>
                <w:bCs w:val="0"/>
                <w:spacing w:val="1"/>
                <w:sz w:val="21"/>
                <w:szCs w:val="21"/>
              </w:rPr>
              <w:t xml:space="preserve">Estudio </w:t>
            </w:r>
          </w:p>
        </w:tc>
        <w:tc>
          <w:tcPr>
            <w:tcW w:w="7229" w:type="dxa"/>
          </w:tcPr>
          <w:p w14:paraId="0143C341" w14:textId="77777777" w:rsidR="00D37E3A" w:rsidRPr="00D37E3A" w:rsidRDefault="00D37E3A" w:rsidP="000543E2">
            <w:pPr>
              <w:widowControl w:val="0"/>
              <w:cnfStyle w:val="000000000000" w:firstRow="0" w:lastRow="0" w:firstColumn="0" w:lastColumn="0" w:oddVBand="0" w:evenVBand="0" w:oddHBand="0" w:evenHBand="0" w:firstRowFirstColumn="0" w:firstRowLastColumn="0" w:lastRowFirstColumn="0" w:lastRowLastColumn="0"/>
              <w:rPr>
                <w:rFonts w:cs="Times New Roman"/>
                <w:spacing w:val="1"/>
                <w:sz w:val="21"/>
                <w:szCs w:val="21"/>
              </w:rPr>
            </w:pPr>
            <w:r w:rsidRPr="00D37E3A">
              <w:rPr>
                <w:rFonts w:cs="Times New Roman"/>
                <w:spacing w:val="1"/>
                <w:sz w:val="21"/>
                <w:szCs w:val="21"/>
              </w:rPr>
              <w:t>Referencia</w:t>
            </w:r>
          </w:p>
        </w:tc>
      </w:tr>
      <w:tr w:rsidR="00D37E3A" w:rsidRPr="00903335" w14:paraId="136A05E7" w14:textId="77777777" w:rsidTr="00054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47E0BAC5" w14:textId="77777777" w:rsidR="00D37E3A" w:rsidRPr="00D37E3A" w:rsidRDefault="00D37E3A" w:rsidP="000543E2">
            <w:pPr>
              <w:widowControl w:val="0"/>
              <w:rPr>
                <w:rFonts w:cs="Times New Roman"/>
                <w:b w:val="0"/>
                <w:bCs w:val="0"/>
                <w:i/>
                <w:iCs/>
                <w:spacing w:val="1"/>
                <w:sz w:val="21"/>
                <w:szCs w:val="21"/>
              </w:rPr>
            </w:pPr>
            <w:r w:rsidRPr="00D37E3A">
              <w:rPr>
                <w:rFonts w:cs="Times New Roman"/>
                <w:b w:val="0"/>
                <w:bCs w:val="0"/>
                <w:i/>
                <w:iCs/>
                <w:sz w:val="21"/>
                <w:szCs w:val="21"/>
              </w:rPr>
              <w:t>Evidencia en población ≥ 50 años</w:t>
            </w:r>
          </w:p>
        </w:tc>
      </w:tr>
      <w:tr w:rsidR="00D37E3A" w:rsidRPr="00903335" w14:paraId="51BB1708" w14:textId="77777777" w:rsidTr="000543E2">
        <w:tc>
          <w:tcPr>
            <w:cnfStyle w:val="001000000000" w:firstRow="0" w:lastRow="0" w:firstColumn="1" w:lastColumn="0" w:oddVBand="0" w:evenVBand="0" w:oddHBand="0" w:evenHBand="0" w:firstRowFirstColumn="0" w:firstRowLastColumn="0" w:lastRowFirstColumn="0" w:lastRowLastColumn="0"/>
            <w:tcW w:w="2547" w:type="dxa"/>
          </w:tcPr>
          <w:p w14:paraId="6571211E" w14:textId="77777777" w:rsidR="00D37E3A" w:rsidRPr="00D37E3A" w:rsidRDefault="00D37E3A" w:rsidP="000543E2">
            <w:pPr>
              <w:widowControl w:val="0"/>
              <w:jc w:val="left"/>
              <w:rPr>
                <w:rFonts w:cs="Times New Roman"/>
                <w:b w:val="0"/>
                <w:bCs w:val="0"/>
                <w:sz w:val="21"/>
                <w:szCs w:val="21"/>
              </w:rPr>
            </w:pPr>
            <w:r w:rsidRPr="00D37E3A">
              <w:rPr>
                <w:rFonts w:cs="Times New Roman"/>
                <w:b w:val="0"/>
                <w:bCs w:val="0"/>
                <w:sz w:val="21"/>
                <w:szCs w:val="21"/>
              </w:rPr>
              <w:t xml:space="preserve">MSBASE </w:t>
            </w:r>
          </w:p>
        </w:tc>
        <w:tc>
          <w:tcPr>
            <w:tcW w:w="7229" w:type="dxa"/>
          </w:tcPr>
          <w:p w14:paraId="40107090" w14:textId="77777777" w:rsidR="00D37E3A" w:rsidRPr="00903335" w:rsidRDefault="00D37E3A" w:rsidP="000543E2">
            <w:pPr>
              <w:widowControl w:val="0"/>
              <w:cnfStyle w:val="000000000000" w:firstRow="0" w:lastRow="0" w:firstColumn="0" w:lastColumn="0" w:oddVBand="0" w:evenVBand="0" w:oddHBand="0" w:evenHBand="0" w:firstRowFirstColumn="0" w:firstRowLastColumn="0" w:lastRowFirstColumn="0" w:lastRowLastColumn="0"/>
              <w:rPr>
                <w:rFonts w:cs="Times New Roman"/>
                <w:sz w:val="21"/>
                <w:szCs w:val="21"/>
                <w:lang w:val="en-US"/>
              </w:rPr>
            </w:pPr>
            <w:r w:rsidRPr="00903335">
              <w:rPr>
                <w:noProof/>
                <w:sz w:val="21"/>
                <w:szCs w:val="21"/>
                <w:lang w:val="en-US"/>
              </w:rPr>
              <w:t>Spelman T, Real-world experience with cladribine tablets in older age groups in the MSBase Registry, 41st Congress of the European Committee for Treatment and Research in Multiple Sclerosis and the 30th Conference of Rehabilitation in Multiple Sclerosis. September 2025. Barcelona, Spain.</w:t>
            </w:r>
          </w:p>
        </w:tc>
      </w:tr>
      <w:tr w:rsidR="00D37E3A" w:rsidRPr="00903335" w14:paraId="1336871A" w14:textId="77777777" w:rsidTr="00054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16F7C21" w14:textId="77777777" w:rsidR="00D37E3A" w:rsidRPr="00D37E3A" w:rsidRDefault="00D37E3A" w:rsidP="000543E2">
            <w:pPr>
              <w:widowControl w:val="0"/>
              <w:jc w:val="left"/>
              <w:rPr>
                <w:rFonts w:cs="Times New Roman"/>
                <w:b w:val="0"/>
                <w:bCs w:val="0"/>
                <w:sz w:val="21"/>
                <w:szCs w:val="21"/>
              </w:rPr>
            </w:pPr>
            <w:r w:rsidRPr="00D37E3A">
              <w:rPr>
                <w:rFonts w:cs="Times New Roman"/>
                <w:b w:val="0"/>
                <w:bCs w:val="0"/>
                <w:sz w:val="21"/>
                <w:szCs w:val="21"/>
              </w:rPr>
              <w:t xml:space="preserve">Serie de Sevilla </w:t>
            </w:r>
          </w:p>
        </w:tc>
        <w:tc>
          <w:tcPr>
            <w:tcW w:w="7229" w:type="dxa"/>
          </w:tcPr>
          <w:p w14:paraId="7CF9B8E1" w14:textId="77777777" w:rsidR="00D37E3A" w:rsidRPr="00903335" w:rsidRDefault="00D37E3A" w:rsidP="000543E2">
            <w:pPr>
              <w:widowControl w:val="0"/>
              <w:cnfStyle w:val="000000100000" w:firstRow="0" w:lastRow="0" w:firstColumn="0" w:lastColumn="0" w:oddVBand="0" w:evenVBand="0" w:oddHBand="1" w:evenHBand="0" w:firstRowFirstColumn="0" w:firstRowLastColumn="0" w:lastRowFirstColumn="0" w:lastRowLastColumn="0"/>
              <w:rPr>
                <w:rFonts w:cs="Times New Roman"/>
                <w:sz w:val="21"/>
                <w:szCs w:val="21"/>
                <w:lang w:val="en-US"/>
              </w:rPr>
            </w:pPr>
            <w:r w:rsidRPr="00903335">
              <w:rPr>
                <w:noProof/>
                <w:sz w:val="21"/>
                <w:szCs w:val="21"/>
                <w:lang w:val="en-US"/>
              </w:rPr>
              <w:t>Rincón-Valencia A, Five-year analysis of cladribine use in patients over 50 years old with relapsing-remitting multiple sclerosis, 41st Congress of the European Committee for Treatment and Research in Multiple Sclerosis and the 30th Conference of Rehabilitation in Multiple Sclerosis. September 2025. Barcelona, Spain.</w:t>
            </w:r>
          </w:p>
        </w:tc>
      </w:tr>
      <w:tr w:rsidR="00D37E3A" w:rsidRPr="00903335" w14:paraId="2F6EC546" w14:textId="77777777" w:rsidTr="000543E2">
        <w:tc>
          <w:tcPr>
            <w:cnfStyle w:val="001000000000" w:firstRow="0" w:lastRow="0" w:firstColumn="1" w:lastColumn="0" w:oddVBand="0" w:evenVBand="0" w:oddHBand="0" w:evenHBand="0" w:firstRowFirstColumn="0" w:firstRowLastColumn="0" w:lastRowFirstColumn="0" w:lastRowLastColumn="0"/>
            <w:tcW w:w="2547" w:type="dxa"/>
          </w:tcPr>
          <w:p w14:paraId="2DE9B18F" w14:textId="77777777" w:rsidR="00D37E3A" w:rsidRPr="00D37E3A" w:rsidRDefault="00D37E3A" w:rsidP="000543E2">
            <w:pPr>
              <w:widowControl w:val="0"/>
              <w:jc w:val="left"/>
              <w:rPr>
                <w:rFonts w:cs="Times New Roman"/>
                <w:b w:val="0"/>
                <w:bCs w:val="0"/>
                <w:sz w:val="21"/>
                <w:szCs w:val="21"/>
              </w:rPr>
            </w:pPr>
            <w:r w:rsidRPr="00D37E3A">
              <w:rPr>
                <w:rFonts w:cs="Times New Roman"/>
                <w:b w:val="0"/>
                <w:bCs w:val="0"/>
                <w:sz w:val="21"/>
                <w:szCs w:val="21"/>
              </w:rPr>
              <w:t xml:space="preserve">Registro sueco </w:t>
            </w:r>
          </w:p>
        </w:tc>
        <w:tc>
          <w:tcPr>
            <w:tcW w:w="7229" w:type="dxa"/>
          </w:tcPr>
          <w:p w14:paraId="794D8EDE" w14:textId="77777777" w:rsidR="00D37E3A" w:rsidRPr="00903335" w:rsidRDefault="00D37E3A" w:rsidP="000543E2">
            <w:pPr>
              <w:widowControl w:val="0"/>
              <w:cnfStyle w:val="000000000000" w:firstRow="0" w:lastRow="0" w:firstColumn="0" w:lastColumn="0" w:oddVBand="0" w:evenVBand="0" w:oddHBand="0" w:evenHBand="0" w:firstRowFirstColumn="0" w:firstRowLastColumn="0" w:lastRowFirstColumn="0" w:lastRowLastColumn="0"/>
              <w:rPr>
                <w:rFonts w:cs="Times New Roman"/>
                <w:sz w:val="21"/>
                <w:szCs w:val="21"/>
                <w:lang w:val="en-US"/>
              </w:rPr>
            </w:pPr>
            <w:r w:rsidRPr="00903335">
              <w:rPr>
                <w:noProof/>
                <w:sz w:val="21"/>
                <w:szCs w:val="21"/>
                <w:lang w:val="en-US"/>
              </w:rPr>
              <w:t>Larsson V, Clinical effectiveness of cladribine tablets for patients below or above 50 years of age at treatment start in the Swedish Post-market Surveillance Study "Immunomodulation and Multiple Sclerosis Epidemiology 10" (IMSE 10), 41st Congress of the European Committee for Treatment and Research in Multiple Sclerosis and the 30th Conference of Rehabilitation in Multiple Sclerosis. September 2025. Barcelona, Spain.</w:t>
            </w:r>
          </w:p>
        </w:tc>
      </w:tr>
      <w:tr w:rsidR="00D37E3A" w:rsidRPr="00903335" w14:paraId="306C015A" w14:textId="77777777" w:rsidTr="00054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792D430" w14:textId="77777777" w:rsidR="00D37E3A" w:rsidRPr="00D37E3A" w:rsidRDefault="00D37E3A" w:rsidP="000543E2">
            <w:pPr>
              <w:widowControl w:val="0"/>
              <w:rPr>
                <w:rFonts w:cs="Times New Roman"/>
                <w:b w:val="0"/>
                <w:bCs w:val="0"/>
                <w:sz w:val="21"/>
                <w:szCs w:val="21"/>
              </w:rPr>
            </w:pPr>
            <w:r w:rsidRPr="00D37E3A">
              <w:rPr>
                <w:rFonts w:cs="Times New Roman"/>
                <w:b w:val="0"/>
                <w:bCs w:val="0"/>
                <w:sz w:val="21"/>
                <w:szCs w:val="21"/>
              </w:rPr>
              <w:t>Serie alemana</w:t>
            </w:r>
          </w:p>
        </w:tc>
        <w:tc>
          <w:tcPr>
            <w:tcW w:w="7229" w:type="dxa"/>
          </w:tcPr>
          <w:p w14:paraId="66E31365" w14:textId="77777777" w:rsidR="00D37E3A" w:rsidRPr="00903335" w:rsidRDefault="00D37E3A" w:rsidP="000543E2">
            <w:pPr>
              <w:widowControl w:val="0"/>
              <w:cnfStyle w:val="000000100000" w:firstRow="0" w:lastRow="0" w:firstColumn="0" w:lastColumn="0" w:oddVBand="0" w:evenVBand="0" w:oddHBand="1" w:evenHBand="0" w:firstRowFirstColumn="0" w:firstRowLastColumn="0" w:lastRowFirstColumn="0" w:lastRowLastColumn="0"/>
              <w:rPr>
                <w:rFonts w:cs="Times New Roman"/>
                <w:sz w:val="21"/>
                <w:szCs w:val="21"/>
                <w:lang w:val="en-US"/>
              </w:rPr>
            </w:pPr>
            <w:r w:rsidRPr="00903335">
              <w:rPr>
                <w:noProof/>
                <w:sz w:val="21"/>
                <w:szCs w:val="21"/>
                <w:lang w:val="en-US"/>
              </w:rPr>
              <w:t>Axhausen F, The use of cladribine tablets in patients with MS beyond the age of 50: experiences from a large tertiary German centre, 41st Congress of the European Committee for Treatment and Research in Multiple Sclerosis and the 30th Conference of Rehabilitation in Multiple Sclerosis. September 2025. Barcelona, Spain.</w:t>
            </w:r>
          </w:p>
        </w:tc>
      </w:tr>
      <w:tr w:rsidR="00D37E3A" w:rsidRPr="00903335" w14:paraId="5D763B23" w14:textId="77777777" w:rsidTr="000543E2">
        <w:tc>
          <w:tcPr>
            <w:cnfStyle w:val="001000000000" w:firstRow="0" w:lastRow="0" w:firstColumn="1" w:lastColumn="0" w:oddVBand="0" w:evenVBand="0" w:oddHBand="0" w:evenHBand="0" w:firstRowFirstColumn="0" w:firstRowLastColumn="0" w:lastRowFirstColumn="0" w:lastRowLastColumn="0"/>
            <w:tcW w:w="9776" w:type="dxa"/>
            <w:gridSpan w:val="2"/>
          </w:tcPr>
          <w:p w14:paraId="3A7CB69B" w14:textId="77777777" w:rsidR="00D37E3A" w:rsidRPr="00D37E3A" w:rsidRDefault="00D37E3A" w:rsidP="000543E2">
            <w:pPr>
              <w:widowControl w:val="0"/>
              <w:rPr>
                <w:b w:val="0"/>
                <w:bCs w:val="0"/>
                <w:i/>
                <w:iCs/>
                <w:noProof/>
                <w:sz w:val="21"/>
                <w:szCs w:val="21"/>
                <w:lang w:val="es-ES"/>
              </w:rPr>
            </w:pPr>
            <w:r w:rsidRPr="00D37E3A">
              <w:rPr>
                <w:rFonts w:cs="Times New Roman"/>
                <w:b w:val="0"/>
                <w:bCs w:val="0"/>
                <w:i/>
                <w:iCs/>
                <w:sz w:val="21"/>
                <w:szCs w:val="21"/>
              </w:rPr>
              <w:t>Evidencia más allá del año 4</w:t>
            </w:r>
          </w:p>
        </w:tc>
      </w:tr>
      <w:tr w:rsidR="00D37E3A" w:rsidRPr="00903335" w14:paraId="29C17EAD" w14:textId="77777777" w:rsidTr="00054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BC79DF6" w14:textId="77777777" w:rsidR="00D37E3A" w:rsidRPr="00D37E3A" w:rsidRDefault="00D37E3A" w:rsidP="000543E2">
            <w:pPr>
              <w:widowControl w:val="0"/>
              <w:rPr>
                <w:rFonts w:cs="Times New Roman"/>
                <w:b w:val="0"/>
                <w:bCs w:val="0"/>
                <w:sz w:val="21"/>
                <w:szCs w:val="21"/>
              </w:rPr>
            </w:pPr>
            <w:r w:rsidRPr="00D37E3A">
              <w:rPr>
                <w:rFonts w:cs="Times New Roman"/>
                <w:b w:val="0"/>
                <w:bCs w:val="0"/>
                <w:sz w:val="21"/>
                <w:szCs w:val="21"/>
              </w:rPr>
              <w:t>Serie de Tenerife</w:t>
            </w:r>
          </w:p>
        </w:tc>
        <w:tc>
          <w:tcPr>
            <w:tcW w:w="7229" w:type="dxa"/>
          </w:tcPr>
          <w:p w14:paraId="54039D97" w14:textId="77777777" w:rsidR="00D37E3A" w:rsidRPr="00D37E3A" w:rsidRDefault="00D37E3A" w:rsidP="000543E2">
            <w:pPr>
              <w:widowControl w:val="0"/>
              <w:cnfStyle w:val="000000100000" w:firstRow="0" w:lastRow="0" w:firstColumn="0" w:lastColumn="0" w:oddVBand="0" w:evenVBand="0" w:oddHBand="1" w:evenHBand="0" w:firstRowFirstColumn="0" w:firstRowLastColumn="0" w:lastRowFirstColumn="0" w:lastRowLastColumn="0"/>
              <w:rPr>
                <w:noProof/>
                <w:sz w:val="21"/>
                <w:szCs w:val="21"/>
                <w:lang w:val="en-US"/>
              </w:rPr>
            </w:pPr>
            <w:r w:rsidRPr="00D37E3A">
              <w:rPr>
                <w:noProof/>
                <w:sz w:val="21"/>
                <w:szCs w:val="21"/>
                <w:lang w:val="en-US"/>
              </w:rPr>
              <w:t>Hernández M A, Real world outcomes in patients with relapsing multiple sclerosis with cladribine tablets in a large Spanish cohort, 41st Congress of the European Committee for Treatment and Research in Multiple Sclerosis and the 30th Conference of Rehabilitation in Multiple Sclerosis. September 2025. Barcelona, Spain.</w:t>
            </w:r>
          </w:p>
        </w:tc>
      </w:tr>
      <w:tr w:rsidR="00D37E3A" w:rsidRPr="00903335" w14:paraId="5C94E0A4" w14:textId="77777777" w:rsidTr="000543E2">
        <w:trPr>
          <w:trHeight w:val="1505"/>
        </w:trPr>
        <w:tc>
          <w:tcPr>
            <w:cnfStyle w:val="001000000000" w:firstRow="0" w:lastRow="0" w:firstColumn="1" w:lastColumn="0" w:oddVBand="0" w:evenVBand="0" w:oddHBand="0" w:evenHBand="0" w:firstRowFirstColumn="0" w:firstRowLastColumn="0" w:lastRowFirstColumn="0" w:lastRowLastColumn="0"/>
            <w:tcW w:w="2547" w:type="dxa"/>
          </w:tcPr>
          <w:p w14:paraId="7F257DFF" w14:textId="77777777" w:rsidR="00D37E3A" w:rsidRPr="00D37E3A" w:rsidRDefault="00D37E3A" w:rsidP="000543E2">
            <w:pPr>
              <w:widowControl w:val="0"/>
              <w:rPr>
                <w:rFonts w:cs="Times New Roman"/>
                <w:b w:val="0"/>
                <w:bCs w:val="0"/>
                <w:sz w:val="21"/>
                <w:szCs w:val="21"/>
              </w:rPr>
            </w:pPr>
            <w:r w:rsidRPr="00D37E3A">
              <w:rPr>
                <w:rFonts w:cs="Times New Roman"/>
                <w:b w:val="0"/>
                <w:bCs w:val="0"/>
                <w:sz w:val="21"/>
                <w:szCs w:val="21"/>
              </w:rPr>
              <w:t>Serie de Madrid</w:t>
            </w:r>
          </w:p>
        </w:tc>
        <w:tc>
          <w:tcPr>
            <w:tcW w:w="7229" w:type="dxa"/>
          </w:tcPr>
          <w:p w14:paraId="5C5FA6F5" w14:textId="77777777" w:rsidR="00D37E3A" w:rsidRPr="00D37E3A" w:rsidRDefault="00D37E3A" w:rsidP="000543E2">
            <w:pPr>
              <w:pStyle w:val="EndNoteBibliography"/>
              <w:cnfStyle w:val="000000000000" w:firstRow="0" w:lastRow="0" w:firstColumn="0" w:lastColumn="0" w:oddVBand="0" w:evenVBand="0" w:oddHBand="0" w:evenHBand="0" w:firstRowFirstColumn="0" w:firstRowLastColumn="0" w:lastRowFirstColumn="0" w:lastRowLastColumn="0"/>
              <w:rPr>
                <w:sz w:val="21"/>
                <w:szCs w:val="21"/>
              </w:rPr>
            </w:pPr>
            <w:r w:rsidRPr="00D37E3A">
              <w:rPr>
                <w:sz w:val="21"/>
                <w:szCs w:val="21"/>
              </w:rPr>
              <w:t>Oreja-Guevara C, Managing multiple sclerosis beyond year 4 after cladribine: Real-World challenges and strategies, 41st Congress of the European Committee for Treatment and Research in Multiple Sclerosis and the 30th Conference of Rehabilitation in Multiple Sclerosis. September 2025. Barcelona, Spain.</w:t>
            </w:r>
          </w:p>
        </w:tc>
      </w:tr>
      <w:tr w:rsidR="00D37E3A" w:rsidRPr="00903335" w14:paraId="0E5DDAB0" w14:textId="77777777" w:rsidTr="00054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67AD309" w14:textId="77777777" w:rsidR="00D37E3A" w:rsidRPr="00D37E3A" w:rsidRDefault="00D37E3A" w:rsidP="000543E2">
            <w:pPr>
              <w:widowControl w:val="0"/>
              <w:rPr>
                <w:rFonts w:cs="Times New Roman"/>
                <w:b w:val="0"/>
                <w:bCs w:val="0"/>
                <w:sz w:val="21"/>
                <w:szCs w:val="21"/>
              </w:rPr>
            </w:pPr>
            <w:r w:rsidRPr="00D37E3A">
              <w:rPr>
                <w:rFonts w:cs="Times New Roman"/>
                <w:b w:val="0"/>
                <w:bCs w:val="0"/>
                <w:sz w:val="21"/>
                <w:szCs w:val="21"/>
              </w:rPr>
              <w:t>MSBASE</w:t>
            </w:r>
          </w:p>
        </w:tc>
        <w:tc>
          <w:tcPr>
            <w:tcW w:w="7229" w:type="dxa"/>
          </w:tcPr>
          <w:p w14:paraId="40FEE9D8" w14:textId="77777777" w:rsidR="00D37E3A" w:rsidRPr="00D37E3A" w:rsidRDefault="00D37E3A" w:rsidP="000543E2">
            <w:pPr>
              <w:widowControl w:val="0"/>
              <w:cnfStyle w:val="000000100000" w:firstRow="0" w:lastRow="0" w:firstColumn="0" w:lastColumn="0" w:oddVBand="0" w:evenVBand="0" w:oddHBand="1" w:evenHBand="0" w:firstRowFirstColumn="0" w:firstRowLastColumn="0" w:lastRowFirstColumn="0" w:lastRowLastColumn="0"/>
              <w:rPr>
                <w:noProof/>
                <w:sz w:val="21"/>
                <w:szCs w:val="21"/>
                <w:lang w:val="en-US"/>
              </w:rPr>
            </w:pPr>
            <w:r w:rsidRPr="00D37E3A">
              <w:rPr>
                <w:noProof/>
                <w:sz w:val="21"/>
                <w:szCs w:val="21"/>
                <w:lang w:val="en-US"/>
              </w:rPr>
              <w:t>Spelman T, Real-world experience with cladribine tablets in the MSBase Registry: 2025 update, 41st Congress of the European Committee for Treatment and Research in Multiple Sclerosis and the 30th Conference of Rehabilitation in Multiple Sclerosis. September 2025. Barcelona, Spain.</w:t>
            </w:r>
          </w:p>
        </w:tc>
      </w:tr>
      <w:tr w:rsidR="00D37E3A" w:rsidRPr="00903335" w14:paraId="1B964F0D" w14:textId="77777777" w:rsidTr="000543E2">
        <w:tc>
          <w:tcPr>
            <w:cnfStyle w:val="001000000000" w:firstRow="0" w:lastRow="0" w:firstColumn="1" w:lastColumn="0" w:oddVBand="0" w:evenVBand="0" w:oddHBand="0" w:evenHBand="0" w:firstRowFirstColumn="0" w:firstRowLastColumn="0" w:lastRowFirstColumn="0" w:lastRowLastColumn="0"/>
            <w:tcW w:w="2547" w:type="dxa"/>
          </w:tcPr>
          <w:p w14:paraId="419B55E6" w14:textId="77777777" w:rsidR="00D37E3A" w:rsidRPr="00D37E3A" w:rsidRDefault="00D37E3A" w:rsidP="000543E2">
            <w:pPr>
              <w:widowControl w:val="0"/>
              <w:jc w:val="left"/>
              <w:rPr>
                <w:rFonts w:cs="Times New Roman"/>
                <w:b w:val="0"/>
                <w:bCs w:val="0"/>
                <w:sz w:val="21"/>
                <w:szCs w:val="21"/>
              </w:rPr>
            </w:pPr>
            <w:r w:rsidRPr="00D37E3A">
              <w:rPr>
                <w:rFonts w:cs="Times New Roman"/>
                <w:b w:val="0"/>
                <w:bCs w:val="0"/>
                <w:sz w:val="21"/>
                <w:szCs w:val="21"/>
              </w:rPr>
              <w:t xml:space="preserve">Cohorte multicéntrica </w:t>
            </w:r>
            <w:r w:rsidRPr="00D37E3A">
              <w:rPr>
                <w:rFonts w:cs="Times New Roman"/>
                <w:b w:val="0"/>
                <w:bCs w:val="0"/>
                <w:sz w:val="21"/>
                <w:szCs w:val="21"/>
              </w:rPr>
              <w:lastRenderedPageBreak/>
              <w:t>alemana</w:t>
            </w:r>
          </w:p>
        </w:tc>
        <w:tc>
          <w:tcPr>
            <w:tcW w:w="7229" w:type="dxa"/>
          </w:tcPr>
          <w:p w14:paraId="7F3B28B9" w14:textId="77777777" w:rsidR="00D37E3A" w:rsidRPr="00D37E3A" w:rsidRDefault="00D37E3A" w:rsidP="000543E2">
            <w:pPr>
              <w:widowControl w:val="0"/>
              <w:cnfStyle w:val="000000000000" w:firstRow="0" w:lastRow="0" w:firstColumn="0" w:lastColumn="0" w:oddVBand="0" w:evenVBand="0" w:oddHBand="0" w:evenHBand="0" w:firstRowFirstColumn="0" w:firstRowLastColumn="0" w:lastRowFirstColumn="0" w:lastRowLastColumn="0"/>
              <w:rPr>
                <w:noProof/>
                <w:sz w:val="21"/>
                <w:szCs w:val="21"/>
                <w:lang w:val="en-US"/>
              </w:rPr>
            </w:pPr>
            <w:r w:rsidRPr="00D37E3A">
              <w:rPr>
                <w:noProof/>
                <w:sz w:val="21"/>
                <w:szCs w:val="21"/>
                <w:lang w:val="en-US"/>
              </w:rPr>
              <w:lastRenderedPageBreak/>
              <w:t xml:space="preserve">Korsukewitz C, Treatment continuation with cladribine tablets (CladT) beyond year </w:t>
            </w:r>
            <w:r w:rsidRPr="00D37E3A">
              <w:rPr>
                <w:noProof/>
                <w:sz w:val="21"/>
                <w:szCs w:val="21"/>
                <w:lang w:val="en-US"/>
              </w:rPr>
              <w:lastRenderedPageBreak/>
              <w:t>4– second interim analysis of the CLIP-5 study, 41st Congress of the European Committee for Treatment and Research in Multiple Sclerosis and the 30th Conference of Rehabilitation in Multiple Sclerosis. September 2025. Barcelona, Spain.</w:t>
            </w:r>
          </w:p>
        </w:tc>
      </w:tr>
      <w:tr w:rsidR="00D37E3A" w:rsidRPr="00903335" w14:paraId="5F48F972" w14:textId="77777777" w:rsidTr="00054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063535A" w14:textId="77777777" w:rsidR="00D37E3A" w:rsidRPr="00D37E3A" w:rsidRDefault="00D37E3A" w:rsidP="000543E2">
            <w:pPr>
              <w:widowControl w:val="0"/>
              <w:rPr>
                <w:rFonts w:cs="Times New Roman"/>
                <w:b w:val="0"/>
                <w:bCs w:val="0"/>
                <w:sz w:val="21"/>
                <w:szCs w:val="21"/>
              </w:rPr>
            </w:pPr>
            <w:r w:rsidRPr="00D37E3A">
              <w:rPr>
                <w:rFonts w:cs="Times New Roman"/>
                <w:b w:val="0"/>
                <w:bCs w:val="0"/>
                <w:sz w:val="21"/>
                <w:szCs w:val="21"/>
              </w:rPr>
              <w:lastRenderedPageBreak/>
              <w:t>Serie de Portland</w:t>
            </w:r>
          </w:p>
        </w:tc>
        <w:tc>
          <w:tcPr>
            <w:tcW w:w="7229" w:type="dxa"/>
          </w:tcPr>
          <w:p w14:paraId="2D81954A" w14:textId="77777777" w:rsidR="00D37E3A" w:rsidRPr="00903335" w:rsidRDefault="00D37E3A" w:rsidP="000543E2">
            <w:pPr>
              <w:widowControl w:val="0"/>
              <w:cnfStyle w:val="000000100000" w:firstRow="0" w:lastRow="0" w:firstColumn="0" w:lastColumn="0" w:oddVBand="0" w:evenVBand="0" w:oddHBand="1" w:evenHBand="0" w:firstRowFirstColumn="0" w:firstRowLastColumn="0" w:lastRowFirstColumn="0" w:lastRowLastColumn="0"/>
              <w:rPr>
                <w:noProof/>
                <w:sz w:val="21"/>
                <w:szCs w:val="21"/>
                <w:lang w:val="en-US"/>
              </w:rPr>
            </w:pPr>
            <w:r w:rsidRPr="00903335">
              <w:rPr>
                <w:noProof/>
                <w:sz w:val="21"/>
                <w:szCs w:val="21"/>
                <w:lang w:val="en-US"/>
              </w:rPr>
              <w:t>Smoot, Evaluating clinical outcomes and tolerability in patients 55 years and older in the providence health system who have started cladribine, 41st Congress of the European Committee for Treatment and Research in Multiple Sclerosis and the 30th Conference of Rehabilitation in Multiple Sclerosis. September 2025. Barcelona, Spain.</w:t>
            </w:r>
          </w:p>
        </w:tc>
      </w:tr>
      <w:tr w:rsidR="00D37E3A" w:rsidRPr="00903335" w14:paraId="63589A84" w14:textId="77777777" w:rsidTr="000543E2">
        <w:tc>
          <w:tcPr>
            <w:cnfStyle w:val="001000000000" w:firstRow="0" w:lastRow="0" w:firstColumn="1" w:lastColumn="0" w:oddVBand="0" w:evenVBand="0" w:oddHBand="0" w:evenHBand="0" w:firstRowFirstColumn="0" w:firstRowLastColumn="0" w:lastRowFirstColumn="0" w:lastRowLastColumn="0"/>
            <w:tcW w:w="2547" w:type="dxa"/>
          </w:tcPr>
          <w:p w14:paraId="0D9661C9" w14:textId="77777777" w:rsidR="00D37E3A" w:rsidRPr="00D37E3A" w:rsidRDefault="00D37E3A" w:rsidP="000543E2">
            <w:pPr>
              <w:widowControl w:val="0"/>
              <w:jc w:val="left"/>
              <w:rPr>
                <w:rFonts w:cs="Times New Roman"/>
                <w:b w:val="0"/>
                <w:bCs w:val="0"/>
                <w:sz w:val="21"/>
                <w:szCs w:val="21"/>
              </w:rPr>
            </w:pPr>
            <w:r w:rsidRPr="00D37E3A">
              <w:rPr>
                <w:rFonts w:cs="Times New Roman"/>
                <w:b w:val="0"/>
                <w:bCs w:val="0"/>
                <w:sz w:val="21"/>
                <w:szCs w:val="21"/>
              </w:rPr>
              <w:t xml:space="preserve">Cohorte multicéntrica alemana </w:t>
            </w:r>
          </w:p>
        </w:tc>
        <w:tc>
          <w:tcPr>
            <w:tcW w:w="7229" w:type="dxa"/>
          </w:tcPr>
          <w:p w14:paraId="5D32078D" w14:textId="77777777" w:rsidR="00D37E3A" w:rsidRPr="00903335" w:rsidRDefault="00D37E3A" w:rsidP="000543E2">
            <w:pPr>
              <w:widowControl w:val="0"/>
              <w:cnfStyle w:val="000000000000" w:firstRow="0" w:lastRow="0" w:firstColumn="0" w:lastColumn="0" w:oddVBand="0" w:evenVBand="0" w:oddHBand="0" w:evenHBand="0" w:firstRowFirstColumn="0" w:firstRowLastColumn="0" w:lastRowFirstColumn="0" w:lastRowLastColumn="0"/>
              <w:rPr>
                <w:noProof/>
                <w:sz w:val="21"/>
                <w:szCs w:val="21"/>
                <w:lang w:val="en-US"/>
              </w:rPr>
            </w:pPr>
            <w:r w:rsidRPr="00903335">
              <w:rPr>
                <w:noProof/>
                <w:sz w:val="21"/>
                <w:szCs w:val="21"/>
                <w:lang w:val="en-US"/>
              </w:rPr>
              <w:t>Woitschach L, Retrospective analysis of multiple sclerosis patients who initiated oral cladribine 5-8 years ago - Data from a German cladribine cohort, 41st Congress of the European Committee for Treatment and Research in Multiple Sclerosis and the 30th Conference of Rehabilitation in Multiple Sclerosis. September 2025. Barcelona, Spain.</w:t>
            </w:r>
          </w:p>
        </w:tc>
      </w:tr>
      <w:tr w:rsidR="00D37E3A" w:rsidRPr="00903335" w14:paraId="3335E145" w14:textId="77777777" w:rsidTr="00054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92CA22D" w14:textId="77777777" w:rsidR="00D37E3A" w:rsidRPr="00D37E3A" w:rsidRDefault="00D37E3A" w:rsidP="000543E2">
            <w:pPr>
              <w:widowControl w:val="0"/>
              <w:jc w:val="left"/>
              <w:rPr>
                <w:rFonts w:cs="Times New Roman"/>
                <w:b w:val="0"/>
                <w:bCs w:val="0"/>
                <w:sz w:val="21"/>
                <w:szCs w:val="21"/>
              </w:rPr>
            </w:pPr>
            <w:r w:rsidRPr="00D37E3A">
              <w:rPr>
                <w:rFonts w:cs="Times New Roman"/>
                <w:b w:val="0"/>
                <w:bCs w:val="0"/>
                <w:sz w:val="21"/>
                <w:szCs w:val="21"/>
              </w:rPr>
              <w:t xml:space="preserve">Cohorte multicéntrica alemana </w:t>
            </w:r>
          </w:p>
        </w:tc>
        <w:tc>
          <w:tcPr>
            <w:tcW w:w="7229" w:type="dxa"/>
          </w:tcPr>
          <w:p w14:paraId="20568B97" w14:textId="77777777" w:rsidR="00D37E3A" w:rsidRPr="00903335" w:rsidRDefault="00D37E3A" w:rsidP="000543E2">
            <w:pPr>
              <w:widowControl w:val="0"/>
              <w:cnfStyle w:val="000000100000" w:firstRow="0" w:lastRow="0" w:firstColumn="0" w:lastColumn="0" w:oddVBand="0" w:evenVBand="0" w:oddHBand="1" w:evenHBand="0" w:firstRowFirstColumn="0" w:firstRowLastColumn="0" w:lastRowFirstColumn="0" w:lastRowLastColumn="0"/>
              <w:rPr>
                <w:noProof/>
                <w:sz w:val="21"/>
                <w:szCs w:val="21"/>
                <w:lang w:val="en-US"/>
              </w:rPr>
            </w:pPr>
            <w:r w:rsidRPr="00903335">
              <w:rPr>
                <w:noProof/>
                <w:sz w:val="21"/>
                <w:szCs w:val="21"/>
                <w:lang w:val="en-US"/>
              </w:rPr>
              <w:t>Korsukewitz C, Treatment continuation with cladribine tablets (CladT) beyond year 4– second interim analysis of the CLIP-5 study, 41st Congress of the European Committee for Treatment and Research in Multiple Sclerosis and the 30th Conference of Rehabilitation in Multiple Sclerosis. September 2025. Barcelona, Spain.</w:t>
            </w:r>
          </w:p>
        </w:tc>
      </w:tr>
      <w:bookmarkEnd w:id="1"/>
    </w:tbl>
    <w:p w14:paraId="552A842B" w14:textId="77777777" w:rsidR="0047716C" w:rsidRDefault="0047716C"/>
    <w:sectPr w:rsidR="0047716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E3A"/>
    <w:rsid w:val="00214CFA"/>
    <w:rsid w:val="0047716C"/>
    <w:rsid w:val="005A2D6D"/>
    <w:rsid w:val="00607581"/>
    <w:rsid w:val="00D37E3A"/>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682B"/>
  <w15:chartTrackingRefBased/>
  <w15:docId w15:val="{681F8860-10AE-444A-BCE4-3E722E697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7E3A"/>
    <w:pPr>
      <w:spacing w:before="120" w:after="120" w:line="264" w:lineRule="auto"/>
      <w:jc w:val="both"/>
    </w:pPr>
    <w:rPr>
      <w:rFonts w:ascii="Times New Roman" w:hAnsi="Times New Roman"/>
      <w:lang w:val="es-ES_tradnl"/>
    </w:rPr>
  </w:style>
  <w:style w:type="paragraph" w:styleId="1">
    <w:name w:val="heading 1"/>
    <w:basedOn w:val="a"/>
    <w:next w:val="a"/>
    <w:link w:val="10"/>
    <w:uiPriority w:val="9"/>
    <w:qFormat/>
    <w:rsid w:val="00D37E3A"/>
    <w:pPr>
      <w:keepNext/>
      <w:keepLines/>
      <w:spacing w:before="360" w:after="80" w:line="278" w:lineRule="auto"/>
      <w:jc w:val="left"/>
      <w:outlineLvl w:val="0"/>
    </w:pPr>
    <w:rPr>
      <w:rFonts w:asciiTheme="majorHAnsi" w:eastAsiaTheme="majorEastAsia" w:hAnsiTheme="majorHAnsi" w:cstheme="majorBidi"/>
      <w:color w:val="0F4761" w:themeColor="accent1" w:themeShade="BF"/>
      <w:sz w:val="40"/>
      <w:szCs w:val="40"/>
      <w:lang w:val="es-ES"/>
    </w:rPr>
  </w:style>
  <w:style w:type="paragraph" w:styleId="2">
    <w:name w:val="heading 2"/>
    <w:basedOn w:val="a"/>
    <w:next w:val="a"/>
    <w:link w:val="20"/>
    <w:uiPriority w:val="9"/>
    <w:semiHidden/>
    <w:unhideWhenUsed/>
    <w:qFormat/>
    <w:rsid w:val="00D37E3A"/>
    <w:pPr>
      <w:keepNext/>
      <w:keepLines/>
      <w:spacing w:before="160" w:after="80" w:line="278" w:lineRule="auto"/>
      <w:jc w:val="left"/>
      <w:outlineLvl w:val="1"/>
    </w:pPr>
    <w:rPr>
      <w:rFonts w:asciiTheme="majorHAnsi" w:eastAsiaTheme="majorEastAsia" w:hAnsiTheme="majorHAnsi" w:cstheme="majorBidi"/>
      <w:color w:val="0F4761" w:themeColor="accent1" w:themeShade="BF"/>
      <w:sz w:val="32"/>
      <w:szCs w:val="32"/>
      <w:lang w:val="es-ES"/>
    </w:rPr>
  </w:style>
  <w:style w:type="paragraph" w:styleId="3">
    <w:name w:val="heading 3"/>
    <w:basedOn w:val="a"/>
    <w:next w:val="a"/>
    <w:link w:val="30"/>
    <w:uiPriority w:val="9"/>
    <w:semiHidden/>
    <w:unhideWhenUsed/>
    <w:qFormat/>
    <w:rsid w:val="00D37E3A"/>
    <w:pPr>
      <w:keepNext/>
      <w:keepLines/>
      <w:spacing w:before="160" w:after="80" w:line="278" w:lineRule="auto"/>
      <w:jc w:val="left"/>
      <w:outlineLvl w:val="2"/>
    </w:pPr>
    <w:rPr>
      <w:rFonts w:asciiTheme="minorHAnsi" w:eastAsiaTheme="majorEastAsia" w:hAnsiTheme="minorHAnsi" w:cstheme="majorBidi"/>
      <w:color w:val="0F4761" w:themeColor="accent1" w:themeShade="BF"/>
      <w:sz w:val="28"/>
      <w:szCs w:val="28"/>
      <w:lang w:val="es-ES"/>
    </w:rPr>
  </w:style>
  <w:style w:type="paragraph" w:styleId="4">
    <w:name w:val="heading 4"/>
    <w:basedOn w:val="a"/>
    <w:next w:val="a"/>
    <w:link w:val="40"/>
    <w:uiPriority w:val="9"/>
    <w:semiHidden/>
    <w:unhideWhenUsed/>
    <w:qFormat/>
    <w:rsid w:val="00D37E3A"/>
    <w:pPr>
      <w:keepNext/>
      <w:keepLines/>
      <w:spacing w:before="80" w:after="40" w:line="278" w:lineRule="auto"/>
      <w:jc w:val="left"/>
      <w:outlineLvl w:val="3"/>
    </w:pPr>
    <w:rPr>
      <w:rFonts w:asciiTheme="minorHAnsi" w:eastAsiaTheme="majorEastAsia" w:hAnsiTheme="minorHAnsi" w:cstheme="majorBidi"/>
      <w:i/>
      <w:iCs/>
      <w:color w:val="0F4761" w:themeColor="accent1" w:themeShade="BF"/>
      <w:lang w:val="es-ES"/>
    </w:rPr>
  </w:style>
  <w:style w:type="paragraph" w:styleId="5">
    <w:name w:val="heading 5"/>
    <w:basedOn w:val="a"/>
    <w:next w:val="a"/>
    <w:link w:val="50"/>
    <w:uiPriority w:val="9"/>
    <w:semiHidden/>
    <w:unhideWhenUsed/>
    <w:qFormat/>
    <w:rsid w:val="00D37E3A"/>
    <w:pPr>
      <w:keepNext/>
      <w:keepLines/>
      <w:spacing w:before="80" w:after="40" w:line="278" w:lineRule="auto"/>
      <w:jc w:val="left"/>
      <w:outlineLvl w:val="4"/>
    </w:pPr>
    <w:rPr>
      <w:rFonts w:asciiTheme="minorHAnsi" w:eastAsiaTheme="majorEastAsia" w:hAnsiTheme="minorHAnsi" w:cstheme="majorBidi"/>
      <w:color w:val="0F4761" w:themeColor="accent1" w:themeShade="BF"/>
      <w:lang w:val="es-ES"/>
    </w:rPr>
  </w:style>
  <w:style w:type="paragraph" w:styleId="6">
    <w:name w:val="heading 6"/>
    <w:basedOn w:val="a"/>
    <w:next w:val="a"/>
    <w:link w:val="60"/>
    <w:uiPriority w:val="9"/>
    <w:semiHidden/>
    <w:unhideWhenUsed/>
    <w:qFormat/>
    <w:rsid w:val="00D37E3A"/>
    <w:pPr>
      <w:keepNext/>
      <w:keepLines/>
      <w:spacing w:before="40" w:after="0" w:line="278" w:lineRule="auto"/>
      <w:jc w:val="left"/>
      <w:outlineLvl w:val="5"/>
    </w:pPr>
    <w:rPr>
      <w:rFonts w:asciiTheme="minorHAnsi" w:eastAsiaTheme="majorEastAsia" w:hAnsiTheme="minorHAnsi" w:cstheme="majorBidi"/>
      <w:i/>
      <w:iCs/>
      <w:color w:val="595959" w:themeColor="text1" w:themeTint="A6"/>
      <w:lang w:val="es-ES"/>
    </w:rPr>
  </w:style>
  <w:style w:type="paragraph" w:styleId="7">
    <w:name w:val="heading 7"/>
    <w:basedOn w:val="a"/>
    <w:next w:val="a"/>
    <w:link w:val="70"/>
    <w:uiPriority w:val="9"/>
    <w:semiHidden/>
    <w:unhideWhenUsed/>
    <w:qFormat/>
    <w:rsid w:val="00D37E3A"/>
    <w:pPr>
      <w:keepNext/>
      <w:keepLines/>
      <w:spacing w:before="40" w:after="0" w:line="278" w:lineRule="auto"/>
      <w:jc w:val="left"/>
      <w:outlineLvl w:val="6"/>
    </w:pPr>
    <w:rPr>
      <w:rFonts w:asciiTheme="minorHAnsi" w:eastAsiaTheme="majorEastAsia" w:hAnsiTheme="minorHAnsi" w:cstheme="majorBidi"/>
      <w:color w:val="595959" w:themeColor="text1" w:themeTint="A6"/>
      <w:lang w:val="es-ES"/>
    </w:rPr>
  </w:style>
  <w:style w:type="paragraph" w:styleId="8">
    <w:name w:val="heading 8"/>
    <w:basedOn w:val="a"/>
    <w:next w:val="a"/>
    <w:link w:val="80"/>
    <w:uiPriority w:val="9"/>
    <w:semiHidden/>
    <w:unhideWhenUsed/>
    <w:qFormat/>
    <w:rsid w:val="00D37E3A"/>
    <w:pPr>
      <w:keepNext/>
      <w:keepLines/>
      <w:spacing w:before="0" w:after="0" w:line="278" w:lineRule="auto"/>
      <w:jc w:val="left"/>
      <w:outlineLvl w:val="7"/>
    </w:pPr>
    <w:rPr>
      <w:rFonts w:asciiTheme="minorHAnsi" w:eastAsiaTheme="majorEastAsia" w:hAnsiTheme="minorHAnsi" w:cstheme="majorBidi"/>
      <w:i/>
      <w:iCs/>
      <w:color w:val="272727" w:themeColor="text1" w:themeTint="D8"/>
      <w:lang w:val="es-ES"/>
    </w:rPr>
  </w:style>
  <w:style w:type="paragraph" w:styleId="9">
    <w:name w:val="heading 9"/>
    <w:basedOn w:val="a"/>
    <w:next w:val="a"/>
    <w:link w:val="90"/>
    <w:uiPriority w:val="9"/>
    <w:semiHidden/>
    <w:unhideWhenUsed/>
    <w:qFormat/>
    <w:rsid w:val="00D37E3A"/>
    <w:pPr>
      <w:keepNext/>
      <w:keepLines/>
      <w:spacing w:before="0" w:after="0" w:line="278" w:lineRule="auto"/>
      <w:jc w:val="left"/>
      <w:outlineLvl w:val="8"/>
    </w:pPr>
    <w:rPr>
      <w:rFonts w:asciiTheme="minorHAnsi" w:eastAsiaTheme="majorEastAsia" w:hAnsiTheme="minorHAnsi" w:cstheme="majorBidi"/>
      <w:color w:val="272727" w:themeColor="text1" w:themeTint="D8"/>
      <w:lang w:val="es-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37E3A"/>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D37E3A"/>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D37E3A"/>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D37E3A"/>
    <w:rPr>
      <w:rFonts w:eastAsiaTheme="majorEastAsia" w:cstheme="majorBidi"/>
      <w:i/>
      <w:iCs/>
      <w:color w:val="0F4761" w:themeColor="accent1" w:themeShade="BF"/>
    </w:rPr>
  </w:style>
  <w:style w:type="character" w:customStyle="1" w:styleId="50">
    <w:name w:val="标题 5 字符"/>
    <w:basedOn w:val="a0"/>
    <w:link w:val="5"/>
    <w:uiPriority w:val="9"/>
    <w:semiHidden/>
    <w:rsid w:val="00D37E3A"/>
    <w:rPr>
      <w:rFonts w:eastAsiaTheme="majorEastAsia" w:cstheme="majorBidi"/>
      <w:color w:val="0F4761" w:themeColor="accent1" w:themeShade="BF"/>
    </w:rPr>
  </w:style>
  <w:style w:type="character" w:customStyle="1" w:styleId="60">
    <w:name w:val="标题 6 字符"/>
    <w:basedOn w:val="a0"/>
    <w:link w:val="6"/>
    <w:uiPriority w:val="9"/>
    <w:semiHidden/>
    <w:rsid w:val="00D37E3A"/>
    <w:rPr>
      <w:rFonts w:eastAsiaTheme="majorEastAsia" w:cstheme="majorBidi"/>
      <w:i/>
      <w:iCs/>
      <w:color w:val="595959" w:themeColor="text1" w:themeTint="A6"/>
    </w:rPr>
  </w:style>
  <w:style w:type="character" w:customStyle="1" w:styleId="70">
    <w:name w:val="标题 7 字符"/>
    <w:basedOn w:val="a0"/>
    <w:link w:val="7"/>
    <w:uiPriority w:val="9"/>
    <w:semiHidden/>
    <w:rsid w:val="00D37E3A"/>
    <w:rPr>
      <w:rFonts w:eastAsiaTheme="majorEastAsia" w:cstheme="majorBidi"/>
      <w:color w:val="595959" w:themeColor="text1" w:themeTint="A6"/>
    </w:rPr>
  </w:style>
  <w:style w:type="character" w:customStyle="1" w:styleId="80">
    <w:name w:val="标题 8 字符"/>
    <w:basedOn w:val="a0"/>
    <w:link w:val="8"/>
    <w:uiPriority w:val="9"/>
    <w:semiHidden/>
    <w:rsid w:val="00D37E3A"/>
    <w:rPr>
      <w:rFonts w:eastAsiaTheme="majorEastAsia" w:cstheme="majorBidi"/>
      <w:i/>
      <w:iCs/>
      <w:color w:val="272727" w:themeColor="text1" w:themeTint="D8"/>
    </w:rPr>
  </w:style>
  <w:style w:type="character" w:customStyle="1" w:styleId="90">
    <w:name w:val="标题 9 字符"/>
    <w:basedOn w:val="a0"/>
    <w:link w:val="9"/>
    <w:uiPriority w:val="9"/>
    <w:semiHidden/>
    <w:rsid w:val="00D37E3A"/>
    <w:rPr>
      <w:rFonts w:eastAsiaTheme="majorEastAsia" w:cstheme="majorBidi"/>
      <w:color w:val="272727" w:themeColor="text1" w:themeTint="D8"/>
    </w:rPr>
  </w:style>
  <w:style w:type="paragraph" w:styleId="a3">
    <w:name w:val="Title"/>
    <w:basedOn w:val="a"/>
    <w:next w:val="a"/>
    <w:link w:val="a4"/>
    <w:uiPriority w:val="10"/>
    <w:qFormat/>
    <w:rsid w:val="00D37E3A"/>
    <w:pPr>
      <w:spacing w:before="0" w:after="80" w:line="240" w:lineRule="auto"/>
      <w:contextualSpacing/>
      <w:jc w:val="left"/>
    </w:pPr>
    <w:rPr>
      <w:rFonts w:asciiTheme="majorHAnsi" w:eastAsiaTheme="majorEastAsia" w:hAnsiTheme="majorHAnsi" w:cstheme="majorBidi"/>
      <w:spacing w:val="-10"/>
      <w:kern w:val="28"/>
      <w:sz w:val="56"/>
      <w:szCs w:val="56"/>
      <w:lang w:val="es-ES"/>
    </w:rPr>
  </w:style>
  <w:style w:type="character" w:customStyle="1" w:styleId="a4">
    <w:name w:val="标题 字符"/>
    <w:basedOn w:val="a0"/>
    <w:link w:val="a3"/>
    <w:uiPriority w:val="10"/>
    <w:rsid w:val="00D37E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7E3A"/>
    <w:pPr>
      <w:numPr>
        <w:ilvl w:val="1"/>
      </w:numPr>
      <w:spacing w:before="0" w:after="160" w:line="278" w:lineRule="auto"/>
      <w:jc w:val="left"/>
    </w:pPr>
    <w:rPr>
      <w:rFonts w:asciiTheme="minorHAnsi" w:eastAsiaTheme="majorEastAsia" w:hAnsiTheme="minorHAnsi" w:cstheme="majorBidi"/>
      <w:color w:val="595959" w:themeColor="text1" w:themeTint="A6"/>
      <w:spacing w:val="15"/>
      <w:sz w:val="28"/>
      <w:szCs w:val="28"/>
      <w:lang w:val="es-ES"/>
    </w:rPr>
  </w:style>
  <w:style w:type="character" w:customStyle="1" w:styleId="a6">
    <w:name w:val="副标题 字符"/>
    <w:basedOn w:val="a0"/>
    <w:link w:val="a5"/>
    <w:uiPriority w:val="11"/>
    <w:rsid w:val="00D37E3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37E3A"/>
    <w:pPr>
      <w:spacing w:before="160" w:after="160" w:line="278" w:lineRule="auto"/>
      <w:jc w:val="center"/>
    </w:pPr>
    <w:rPr>
      <w:rFonts w:asciiTheme="minorHAnsi" w:hAnsiTheme="minorHAnsi"/>
      <w:i/>
      <w:iCs/>
      <w:color w:val="404040" w:themeColor="text1" w:themeTint="BF"/>
      <w:lang w:val="es-ES"/>
    </w:rPr>
  </w:style>
  <w:style w:type="character" w:customStyle="1" w:styleId="a8">
    <w:name w:val="引用 字符"/>
    <w:basedOn w:val="a0"/>
    <w:link w:val="a7"/>
    <w:uiPriority w:val="29"/>
    <w:rsid w:val="00D37E3A"/>
    <w:rPr>
      <w:i/>
      <w:iCs/>
      <w:color w:val="404040" w:themeColor="text1" w:themeTint="BF"/>
    </w:rPr>
  </w:style>
  <w:style w:type="paragraph" w:styleId="a9">
    <w:name w:val="List Paragraph"/>
    <w:basedOn w:val="a"/>
    <w:uiPriority w:val="34"/>
    <w:qFormat/>
    <w:rsid w:val="00D37E3A"/>
    <w:pPr>
      <w:spacing w:before="0" w:after="160" w:line="278" w:lineRule="auto"/>
      <w:ind w:left="720"/>
      <w:contextualSpacing/>
      <w:jc w:val="left"/>
    </w:pPr>
    <w:rPr>
      <w:rFonts w:asciiTheme="minorHAnsi" w:hAnsiTheme="minorHAnsi"/>
      <w:lang w:val="es-ES"/>
    </w:rPr>
  </w:style>
  <w:style w:type="character" w:styleId="aa">
    <w:name w:val="Intense Emphasis"/>
    <w:basedOn w:val="a0"/>
    <w:uiPriority w:val="21"/>
    <w:qFormat/>
    <w:rsid w:val="00D37E3A"/>
    <w:rPr>
      <w:i/>
      <w:iCs/>
      <w:color w:val="0F4761" w:themeColor="accent1" w:themeShade="BF"/>
    </w:rPr>
  </w:style>
  <w:style w:type="paragraph" w:styleId="ab">
    <w:name w:val="Intense Quote"/>
    <w:basedOn w:val="a"/>
    <w:next w:val="a"/>
    <w:link w:val="ac"/>
    <w:uiPriority w:val="30"/>
    <w:qFormat/>
    <w:rsid w:val="00D37E3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lang w:val="es-ES"/>
    </w:rPr>
  </w:style>
  <w:style w:type="character" w:customStyle="1" w:styleId="ac">
    <w:name w:val="明显引用 字符"/>
    <w:basedOn w:val="a0"/>
    <w:link w:val="ab"/>
    <w:uiPriority w:val="30"/>
    <w:rsid w:val="00D37E3A"/>
    <w:rPr>
      <w:i/>
      <w:iCs/>
      <w:color w:val="0F4761" w:themeColor="accent1" w:themeShade="BF"/>
    </w:rPr>
  </w:style>
  <w:style w:type="character" w:styleId="ad">
    <w:name w:val="Intense Reference"/>
    <w:basedOn w:val="a0"/>
    <w:uiPriority w:val="32"/>
    <w:qFormat/>
    <w:rsid w:val="00D37E3A"/>
    <w:rPr>
      <w:b/>
      <w:bCs/>
      <w:smallCaps/>
      <w:color w:val="0F4761" w:themeColor="accent1" w:themeShade="BF"/>
      <w:spacing w:val="5"/>
    </w:rPr>
  </w:style>
  <w:style w:type="paragraph" w:customStyle="1" w:styleId="EndNoteBibliography">
    <w:name w:val="EndNote Bibliography"/>
    <w:basedOn w:val="a"/>
    <w:link w:val="EndNoteBibliographyCar"/>
    <w:rsid w:val="00D37E3A"/>
    <w:pPr>
      <w:spacing w:line="240" w:lineRule="auto"/>
    </w:pPr>
    <w:rPr>
      <w:rFonts w:cs="Times New Roman"/>
      <w:noProof/>
      <w:lang w:val="en-US"/>
    </w:rPr>
  </w:style>
  <w:style w:type="character" w:customStyle="1" w:styleId="EndNoteBibliographyCar">
    <w:name w:val="EndNote Bibliography Car"/>
    <w:basedOn w:val="a0"/>
    <w:link w:val="EndNoteBibliography"/>
    <w:rsid w:val="00D37E3A"/>
    <w:rPr>
      <w:rFonts w:ascii="Times New Roman" w:hAnsi="Times New Roman" w:cs="Times New Roman"/>
      <w:noProof/>
      <w:lang w:val="en-US"/>
    </w:rPr>
  </w:style>
  <w:style w:type="table" w:styleId="21">
    <w:name w:val="Plain Table 2"/>
    <w:basedOn w:val="a1"/>
    <w:uiPriority w:val="42"/>
    <w:rsid w:val="00D37E3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605</Words>
  <Characters>3452</Characters>
  <Application>Microsoft Office Word</Application>
  <DocSecurity>0</DocSecurity>
  <Lines>28</Lines>
  <Paragraphs>8</Paragraphs>
  <ScaleCrop>false</ScaleCrop>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Caballero Gómez</dc:creator>
  <cp:keywords/>
  <dc:description/>
  <cp:lastModifiedBy>Rita</cp:lastModifiedBy>
  <cp:revision>2</cp:revision>
  <dcterms:created xsi:type="dcterms:W3CDTF">2026-03-10T07:26:00Z</dcterms:created>
  <dcterms:modified xsi:type="dcterms:W3CDTF">2026-07-21T05:03:00Z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78860b79-6168-4261-9301-3dd4643f5dc6</vt:lpwstr>
  </property>
</Properties>
</file>